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3E" w:rsidRPr="001C603E" w:rsidRDefault="001C603E" w:rsidP="001C6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An analysis of public procurement corruption</w:t>
      </w:r>
      <w:r w:rsidRPr="001C603E">
        <w:rPr>
          <w:rFonts w:ascii="Arial" w:hAnsi="Arial" w:cs="Arial"/>
          <w:b/>
          <w:sz w:val="24"/>
          <w:szCs w:val="24"/>
          <w:lang w:val="en-US"/>
        </w:rPr>
        <w:t>:</w:t>
      </w:r>
    </w:p>
    <w:p w:rsidR="005A558B" w:rsidRPr="001C603E" w:rsidRDefault="001C603E" w:rsidP="001C603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Cases of Canada</w:t>
      </w:r>
      <w:r w:rsidRPr="001C603E">
        <w:rPr>
          <w:rFonts w:ascii="Arial" w:hAnsi="Arial" w:cs="Arial"/>
          <w:b/>
          <w:sz w:val="24"/>
          <w:szCs w:val="24"/>
          <w:lang w:val="en-US"/>
        </w:rPr>
        <w:t>,</w:t>
      </w:r>
      <w:r>
        <w:rPr>
          <w:rFonts w:ascii="Arial" w:hAnsi="Arial" w:cs="Arial"/>
          <w:b/>
          <w:sz w:val="24"/>
          <w:szCs w:val="24"/>
          <w:lang w:val="en-US"/>
        </w:rPr>
        <w:t xml:space="preserve"> Georgia and Estonia</w:t>
      </w:r>
    </w:p>
    <w:p w:rsidR="001C603E" w:rsidRPr="001C603E" w:rsidRDefault="001C603E" w:rsidP="001C603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1C603E" w:rsidRPr="001C603E" w:rsidRDefault="001C603E" w:rsidP="001C603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</w:t>
      </w:r>
      <w:r w:rsidRPr="001C603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effectiveness</w:t>
      </w:r>
      <w:r w:rsidRPr="001C603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1C603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measures</w:t>
      </w:r>
      <w:r w:rsidRPr="001C603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on anti-corruption in public procurement across the three analyzed country cases varies significantly</w:t>
      </w:r>
      <w:r w:rsidRPr="001C603E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It is remarkable that Georgia’s experience in fighting corruption in this area</w:t>
      </w:r>
      <w:r w:rsidRPr="001C603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appears</w:t>
      </w:r>
      <w:r w:rsidRPr="001C603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more effective vis-à-vis both Estonia and Canada</w:t>
      </w:r>
      <w:r w:rsidRPr="001C603E">
        <w:rPr>
          <w:rFonts w:ascii="Arial" w:hAnsi="Arial" w:cs="Arial"/>
          <w:sz w:val="24"/>
          <w:szCs w:val="24"/>
          <w:lang w:val="en-US"/>
        </w:rPr>
        <w:t>.</w:t>
      </w:r>
    </w:p>
    <w:p w:rsidR="001C603E" w:rsidRDefault="001C603E" w:rsidP="001C603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</w:t>
      </w:r>
      <w:r w:rsidRPr="001C603E">
        <w:rPr>
          <w:rFonts w:ascii="Arial" w:hAnsi="Arial" w:cs="Arial"/>
          <w:sz w:val="24"/>
          <w:szCs w:val="24"/>
          <w:lang w:val="en-US"/>
        </w:rPr>
        <w:t xml:space="preserve"> corruption </w:t>
      </w:r>
      <w:r>
        <w:rPr>
          <w:rFonts w:ascii="Arial" w:hAnsi="Arial" w:cs="Arial"/>
          <w:sz w:val="24"/>
          <w:szCs w:val="24"/>
          <w:lang w:val="en-US"/>
        </w:rPr>
        <w:t>level</w:t>
      </w:r>
      <w:r w:rsidRPr="001C603E">
        <w:rPr>
          <w:rFonts w:ascii="Arial" w:hAnsi="Arial" w:cs="Arial"/>
          <w:sz w:val="24"/>
          <w:szCs w:val="24"/>
          <w:lang w:val="en-US"/>
        </w:rPr>
        <w:t xml:space="preserve"> in</w:t>
      </w:r>
      <w:r>
        <w:rPr>
          <w:rFonts w:ascii="Arial" w:hAnsi="Arial" w:cs="Arial"/>
          <w:sz w:val="24"/>
          <w:szCs w:val="24"/>
          <w:lang w:val="en-US"/>
        </w:rPr>
        <w:t xml:space="preserve"> Canada’s</w:t>
      </w:r>
      <w:r w:rsidRPr="001C603E">
        <w:rPr>
          <w:rFonts w:ascii="Arial" w:hAnsi="Arial" w:cs="Arial"/>
          <w:sz w:val="24"/>
          <w:szCs w:val="24"/>
          <w:lang w:val="en-US"/>
        </w:rPr>
        <w:t xml:space="preserve"> public procurement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is evaluated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at the medium</w:t>
      </w:r>
      <w:r w:rsidRPr="001C603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risk level</w:t>
      </w:r>
      <w:r w:rsidRPr="001C603E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Despite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number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effective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measures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A46D28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g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sound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legal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base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an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introduced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Certificate of Independent Bid Determination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for procurement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, </w:t>
      </w:r>
      <w:r w:rsidR="00A46D28">
        <w:rPr>
          <w:rFonts w:ascii="Arial" w:hAnsi="Arial" w:cs="Arial"/>
          <w:sz w:val="24"/>
          <w:szCs w:val="24"/>
          <w:lang w:val="en-US"/>
        </w:rPr>
        <w:t>principles of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 w:rsidRPr="00A46D28">
        <w:rPr>
          <w:rFonts w:ascii="Arial" w:hAnsi="Arial" w:cs="Arial"/>
          <w:sz w:val="24"/>
          <w:szCs w:val="24"/>
          <w:lang w:val="en-US"/>
        </w:rPr>
        <w:t>integrity and rule of law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, </w:t>
      </w:r>
      <w:r w:rsidR="00A46D28">
        <w:rPr>
          <w:rFonts w:ascii="Arial" w:hAnsi="Arial" w:cs="Arial"/>
          <w:sz w:val="24"/>
          <w:szCs w:val="24"/>
          <w:lang w:val="en-US"/>
        </w:rPr>
        <w:t>and a new position of the procurement Ombudsman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), </w:t>
      </w:r>
      <w:r w:rsidR="00A46D28" w:rsidRPr="00A46D28">
        <w:rPr>
          <w:rFonts w:ascii="Arial" w:hAnsi="Arial" w:cs="Arial"/>
          <w:sz w:val="24"/>
          <w:szCs w:val="24"/>
          <w:lang w:val="en-US"/>
        </w:rPr>
        <w:t>the situation has not dramatically improved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. </w:t>
      </w:r>
      <w:r w:rsidR="00A46D28">
        <w:rPr>
          <w:rFonts w:ascii="Arial" w:hAnsi="Arial" w:cs="Arial"/>
          <w:sz w:val="24"/>
          <w:szCs w:val="24"/>
          <w:lang w:val="en-US"/>
        </w:rPr>
        <w:t>This, as it seems, is due to the following factors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. </w:t>
      </w:r>
      <w:r w:rsidR="00A46D28">
        <w:rPr>
          <w:rFonts w:ascii="Arial" w:hAnsi="Arial" w:cs="Arial"/>
          <w:sz w:val="24"/>
          <w:szCs w:val="24"/>
          <w:lang w:val="en-US"/>
        </w:rPr>
        <w:t>First</w:t>
      </w:r>
      <w:r w:rsidR="00A46D28" w:rsidRPr="00A46D28">
        <w:rPr>
          <w:rFonts w:ascii="Arial" w:hAnsi="Arial" w:cs="Arial"/>
          <w:sz w:val="24"/>
          <w:szCs w:val="24"/>
          <w:lang w:val="en-US"/>
        </w:rPr>
        <w:t xml:space="preserve">, </w:t>
      </w:r>
      <w:r w:rsidR="00A46D28">
        <w:rPr>
          <w:rFonts w:ascii="Arial" w:hAnsi="Arial" w:cs="Arial"/>
          <w:sz w:val="24"/>
          <w:szCs w:val="24"/>
          <w:lang w:val="en-US"/>
        </w:rPr>
        <w:t>a</w:t>
      </w:r>
      <w:r w:rsidR="00A46D28"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wide</w:t>
      </w:r>
      <w:r w:rsidR="00A46D28"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range</w:t>
      </w:r>
      <w:r w:rsidR="00A46D28"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of</w:t>
      </w:r>
      <w:r w:rsidR="00A46D28"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laws</w:t>
      </w:r>
      <w:r w:rsidR="00A46D28"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and</w:t>
      </w:r>
      <w:r w:rsidR="00A46D28"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legal</w:t>
      </w:r>
      <w:r w:rsidR="00A46D28"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acts</w:t>
      </w:r>
      <w:r w:rsidR="00A46D28"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opens a window of</w:t>
      </w:r>
      <w:r w:rsidR="00A46D28"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opportunities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for manipulation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, </w:t>
      </w:r>
      <w:r w:rsidR="00A46D28">
        <w:rPr>
          <w:rFonts w:ascii="Arial" w:hAnsi="Arial" w:cs="Arial"/>
          <w:sz w:val="24"/>
          <w:szCs w:val="24"/>
          <w:lang w:val="en-US"/>
        </w:rPr>
        <w:t xml:space="preserve">as supported by </w:t>
      </w:r>
      <w:r w:rsidR="00A46D28" w:rsidRPr="00A46D28">
        <w:rPr>
          <w:rFonts w:ascii="Arial" w:hAnsi="Arial" w:cs="Arial"/>
          <w:sz w:val="24"/>
          <w:szCs w:val="24"/>
          <w:lang w:val="en-US"/>
        </w:rPr>
        <w:t xml:space="preserve">identified gaps </w:t>
      </w:r>
      <w:r w:rsidRPr="00A46D28">
        <w:rPr>
          <w:rFonts w:ascii="Arial" w:hAnsi="Arial" w:cs="Arial"/>
          <w:sz w:val="24"/>
          <w:szCs w:val="24"/>
          <w:lang w:val="en-US"/>
        </w:rPr>
        <w:t>(</w:t>
      </w:r>
      <w:r w:rsidR="00A46D28">
        <w:rPr>
          <w:rFonts w:ascii="Arial" w:hAnsi="Arial" w:cs="Arial"/>
          <w:sz w:val="24"/>
          <w:szCs w:val="24"/>
          <w:lang w:val="en-US"/>
        </w:rPr>
        <w:t>in laws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on Financial Management and on Lobbying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). </w:t>
      </w:r>
      <w:r w:rsidR="00A46D28" w:rsidRPr="00A46D28">
        <w:rPr>
          <w:rFonts w:ascii="Arial" w:hAnsi="Arial" w:cs="Arial"/>
          <w:sz w:val="24"/>
          <w:szCs w:val="24"/>
          <w:lang w:val="en-US"/>
        </w:rPr>
        <w:t>Secondly, there is concern about the construction industry in Quebec,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 xml:space="preserve">where close ties </w:t>
      </w:r>
      <w:proofErr w:type="gramStart"/>
      <w:r w:rsidR="00A46D28">
        <w:rPr>
          <w:rFonts w:ascii="Arial" w:hAnsi="Arial" w:cs="Arial"/>
          <w:sz w:val="24"/>
          <w:szCs w:val="24"/>
          <w:lang w:val="en-US"/>
        </w:rPr>
        <w:t>are observed</w:t>
      </w:r>
      <w:proofErr w:type="gramEnd"/>
      <w:r w:rsidR="00A46D28">
        <w:rPr>
          <w:rFonts w:ascii="Arial" w:hAnsi="Arial" w:cs="Arial"/>
          <w:sz w:val="24"/>
          <w:szCs w:val="24"/>
          <w:lang w:val="en-US"/>
        </w:rPr>
        <w:t xml:space="preserve"> between the industry, </w:t>
      </w:r>
      <w:r w:rsidR="00A46D28" w:rsidRPr="00A46D28">
        <w:rPr>
          <w:rFonts w:ascii="Arial" w:hAnsi="Arial" w:cs="Arial"/>
          <w:sz w:val="24"/>
          <w:szCs w:val="24"/>
          <w:lang w:val="en-US"/>
        </w:rPr>
        <w:t>criminal groups and political parties</w:t>
      </w:r>
      <w:r w:rsidRPr="00A46D28">
        <w:rPr>
          <w:rFonts w:ascii="Arial" w:hAnsi="Arial" w:cs="Arial"/>
          <w:sz w:val="24"/>
          <w:szCs w:val="24"/>
          <w:lang w:val="en-US"/>
        </w:rPr>
        <w:t xml:space="preserve">. </w:t>
      </w:r>
      <w:r w:rsidR="00A46D28">
        <w:rPr>
          <w:rFonts w:ascii="Arial" w:hAnsi="Arial" w:cs="Arial"/>
          <w:sz w:val="24"/>
          <w:szCs w:val="24"/>
          <w:lang w:val="en-US"/>
        </w:rPr>
        <w:t>Third</w:t>
      </w:r>
      <w:r w:rsidR="00A46D28" w:rsidRPr="008C750D">
        <w:rPr>
          <w:rFonts w:ascii="Arial" w:hAnsi="Arial" w:cs="Arial"/>
          <w:sz w:val="24"/>
          <w:szCs w:val="24"/>
          <w:lang w:val="en-US"/>
        </w:rPr>
        <w:t xml:space="preserve">, </w:t>
      </w:r>
      <w:r w:rsidR="00A46D28">
        <w:rPr>
          <w:rFonts w:ascii="Arial" w:hAnsi="Arial" w:cs="Arial"/>
          <w:sz w:val="24"/>
          <w:szCs w:val="24"/>
          <w:lang w:val="en-US"/>
        </w:rPr>
        <w:t>ethical</w:t>
      </w:r>
      <w:r w:rsidR="00A46D28"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norms</w:t>
      </w:r>
      <w:r w:rsidR="00A46D28"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are</w:t>
      </w:r>
      <w:r w:rsidR="00A46D28"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increasingly</w:t>
      </w:r>
      <w:r w:rsidR="00A46D28"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>
        <w:rPr>
          <w:rFonts w:ascii="Arial" w:hAnsi="Arial" w:cs="Arial"/>
          <w:sz w:val="24"/>
          <w:szCs w:val="24"/>
          <w:lang w:val="en-US"/>
        </w:rPr>
        <w:t>violated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 w:rsidR="00A46D28" w:rsidRPr="008C750D">
        <w:rPr>
          <w:rFonts w:ascii="Arial" w:hAnsi="Arial" w:cs="Arial"/>
          <w:sz w:val="24"/>
          <w:szCs w:val="24"/>
          <w:lang w:val="en-US"/>
        </w:rPr>
        <w:t>by Canadian companies in the third world countries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(</w:t>
      </w:r>
      <w:r w:rsidR="008C750D" w:rsidRPr="008C750D">
        <w:rPr>
          <w:rFonts w:ascii="Arial" w:hAnsi="Arial" w:cs="Arial"/>
          <w:sz w:val="24"/>
          <w:szCs w:val="24"/>
          <w:lang w:val="en-US"/>
        </w:rPr>
        <w:t>in 2017 the World Bank included 117</w:t>
      </w:r>
      <w:r w:rsidR="008C750D">
        <w:rPr>
          <w:rFonts w:ascii="Arial" w:hAnsi="Arial" w:cs="Arial"/>
          <w:sz w:val="24"/>
          <w:szCs w:val="24"/>
          <w:lang w:val="en-US"/>
        </w:rPr>
        <w:t xml:space="preserve"> Canadian firms</w:t>
      </w:r>
      <w:r w:rsidR="008C750D" w:rsidRPr="008C750D">
        <w:rPr>
          <w:rFonts w:ascii="Arial" w:hAnsi="Arial" w:cs="Arial"/>
          <w:sz w:val="24"/>
          <w:szCs w:val="24"/>
          <w:lang w:val="en-US"/>
        </w:rPr>
        <w:t xml:space="preserve"> in </w:t>
      </w:r>
      <w:r w:rsidR="008C750D">
        <w:rPr>
          <w:rFonts w:ascii="Arial" w:hAnsi="Arial" w:cs="Arial"/>
          <w:sz w:val="24"/>
          <w:szCs w:val="24"/>
          <w:lang w:val="en-US"/>
        </w:rPr>
        <w:t>its</w:t>
      </w:r>
      <w:r w:rsidR="008C750D" w:rsidRPr="008C750D">
        <w:rPr>
          <w:rFonts w:ascii="Arial" w:hAnsi="Arial" w:cs="Arial"/>
          <w:sz w:val="24"/>
          <w:szCs w:val="24"/>
          <w:lang w:val="en-US"/>
        </w:rPr>
        <w:t xml:space="preserve"> “black list”</w:t>
      </w:r>
      <w:r w:rsidR="008C750D">
        <w:rPr>
          <w:rFonts w:ascii="Arial" w:hAnsi="Arial" w:cs="Arial"/>
          <w:sz w:val="24"/>
          <w:szCs w:val="24"/>
          <w:lang w:val="en-US"/>
        </w:rPr>
        <w:t xml:space="preserve"> while in early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2019 </w:t>
      </w:r>
      <w:r w:rsidR="008C750D">
        <w:rPr>
          <w:rFonts w:ascii="Arial" w:hAnsi="Arial" w:cs="Arial"/>
          <w:sz w:val="24"/>
          <w:szCs w:val="24"/>
          <w:lang w:val="en-US"/>
        </w:rPr>
        <w:t>it was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127 </w:t>
      </w:r>
      <w:r w:rsidR="008C750D">
        <w:rPr>
          <w:rFonts w:ascii="Arial" w:hAnsi="Arial" w:cs="Arial"/>
          <w:sz w:val="24"/>
          <w:szCs w:val="24"/>
          <w:lang w:val="en-US"/>
        </w:rPr>
        <w:t>firms</w:t>
      </w:r>
      <w:r w:rsidRPr="008C750D">
        <w:rPr>
          <w:rFonts w:ascii="Arial" w:hAnsi="Arial" w:cs="Arial"/>
          <w:sz w:val="24"/>
          <w:szCs w:val="24"/>
          <w:lang w:val="en-US"/>
        </w:rPr>
        <w:t>).</w:t>
      </w:r>
    </w:p>
    <w:p w:rsidR="008C750D" w:rsidRPr="008C750D" w:rsidRDefault="008C750D" w:rsidP="008C75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Estonian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corruption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 public procurement appears similar to Canada’s to a certain degree in a sense that both contexts demonstrate a medium risk level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Regarding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its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strengths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Estonia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has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managed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transit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from paper-based to e-procurement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which allows direct access to databases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This has led to certain reduction of corruption risks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along with time and finance efficiency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Another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effective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measure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is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2017 </w:t>
      </w:r>
      <w:r>
        <w:rPr>
          <w:rFonts w:ascii="Arial" w:hAnsi="Arial" w:cs="Arial"/>
          <w:sz w:val="24"/>
          <w:szCs w:val="24"/>
          <w:lang w:val="en-US"/>
        </w:rPr>
        <w:t>single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Law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on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Public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Procurement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, 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which facilitates the process of legislative monitoring </w:t>
      </w:r>
      <w:r>
        <w:rPr>
          <w:rFonts w:ascii="Arial" w:hAnsi="Arial" w:cs="Arial"/>
          <w:sz w:val="24"/>
          <w:szCs w:val="24"/>
          <w:lang w:val="en-US"/>
        </w:rPr>
        <w:t>of corruption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. </w:t>
      </w:r>
      <w:r w:rsidRPr="008C750D">
        <w:rPr>
          <w:rFonts w:ascii="Arial" w:hAnsi="Arial" w:cs="Arial"/>
          <w:sz w:val="24"/>
          <w:szCs w:val="24"/>
          <w:lang w:val="en-US"/>
        </w:rPr>
        <w:t>However, there are a number of significant problems. Firstly, this is the practice of favoritism on the part of civil servants due to the small size of</w:t>
      </w:r>
      <w:r>
        <w:rPr>
          <w:rFonts w:ascii="Arial" w:hAnsi="Arial" w:cs="Arial"/>
          <w:sz w:val="24"/>
          <w:szCs w:val="24"/>
          <w:lang w:val="en-US"/>
        </w:rPr>
        <w:t xml:space="preserve"> Estonian business communities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. Secondly, it is conflict of interest and collusion in bidding, as well as the practice of individual technical conditions (but lower than in most other EU countries). The problem of conflict of interests </w:t>
      </w:r>
      <w:r w:rsidR="00A20704">
        <w:rPr>
          <w:rFonts w:ascii="Arial" w:hAnsi="Arial" w:cs="Arial"/>
          <w:sz w:val="24"/>
          <w:szCs w:val="24"/>
          <w:lang w:val="en-US"/>
        </w:rPr>
        <w:t>leads to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the need </w:t>
      </w:r>
      <w:r w:rsidR="00A20704">
        <w:rPr>
          <w:rFonts w:ascii="Arial" w:hAnsi="Arial" w:cs="Arial"/>
          <w:sz w:val="24"/>
          <w:szCs w:val="24"/>
          <w:lang w:val="en-US"/>
        </w:rPr>
        <w:t>of further complicating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public procurement, in which procuring government agencies, in addition to existing legislation, </w:t>
      </w:r>
      <w:proofErr w:type="gramStart"/>
      <w:r w:rsidRPr="008C750D">
        <w:rPr>
          <w:rFonts w:ascii="Arial" w:hAnsi="Arial" w:cs="Arial"/>
          <w:sz w:val="24"/>
          <w:szCs w:val="24"/>
          <w:lang w:val="en-US"/>
        </w:rPr>
        <w:t>are forced</w:t>
      </w:r>
      <w:proofErr w:type="gramEnd"/>
      <w:r w:rsidRPr="008C750D">
        <w:rPr>
          <w:rFonts w:ascii="Arial" w:hAnsi="Arial" w:cs="Arial"/>
          <w:sz w:val="24"/>
          <w:szCs w:val="24"/>
          <w:lang w:val="en-US"/>
        </w:rPr>
        <w:t xml:space="preserve"> to adopt internal procedures with the aim of resolving conflict of interest. Thirdly, Estonia </w:t>
      </w:r>
      <w:r w:rsidR="00A20704">
        <w:rPr>
          <w:rFonts w:ascii="Arial" w:hAnsi="Arial" w:cs="Arial"/>
          <w:sz w:val="24"/>
          <w:szCs w:val="24"/>
          <w:lang w:val="en-US"/>
        </w:rPr>
        <w:t>shall need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to introduce quality criteria in the conduct of procurement instead of the</w:t>
      </w:r>
      <w:r w:rsidR="00A20704">
        <w:rPr>
          <w:rFonts w:ascii="Arial" w:hAnsi="Arial" w:cs="Arial"/>
          <w:sz w:val="24"/>
          <w:szCs w:val="24"/>
          <w:lang w:val="en-US"/>
        </w:rPr>
        <w:t xml:space="preserve"> currently used</w:t>
      </w:r>
      <w:r w:rsidRPr="008C750D">
        <w:rPr>
          <w:rFonts w:ascii="Arial" w:hAnsi="Arial" w:cs="Arial"/>
          <w:sz w:val="24"/>
          <w:szCs w:val="24"/>
          <w:lang w:val="en-US"/>
        </w:rPr>
        <w:t xml:space="preserve"> criterion of the lowest bid price.</w:t>
      </w:r>
    </w:p>
    <w:p w:rsidR="0020682A" w:rsidRDefault="00A20704" w:rsidP="008C75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A20704">
        <w:rPr>
          <w:rFonts w:ascii="Arial" w:hAnsi="Arial" w:cs="Arial"/>
          <w:sz w:val="24"/>
          <w:szCs w:val="24"/>
          <w:lang w:val="en-US"/>
        </w:rPr>
        <w:t>Georgia not only “leads” among the three countries analyzed, but also determines the pace of procurement reforms in countries with transitional market economies, ahead of a number of developed countries in</w:t>
      </w:r>
      <w:r>
        <w:rPr>
          <w:rFonts w:ascii="Arial" w:hAnsi="Arial" w:cs="Arial"/>
          <w:sz w:val="24"/>
          <w:szCs w:val="24"/>
          <w:lang w:val="en-US"/>
        </w:rPr>
        <w:t xml:space="preserve"> developing e-procurement systems</w:t>
      </w:r>
      <w:r w:rsidR="008C750D" w:rsidRPr="00A20704">
        <w:rPr>
          <w:rFonts w:ascii="Arial" w:hAnsi="Arial" w:cs="Arial"/>
          <w:sz w:val="24"/>
          <w:szCs w:val="24"/>
          <w:lang w:val="en-US"/>
        </w:rPr>
        <w:t xml:space="preserve">. </w:t>
      </w:r>
      <w:r w:rsidRPr="00A20704">
        <w:rPr>
          <w:rFonts w:ascii="Arial" w:hAnsi="Arial" w:cs="Arial"/>
          <w:sz w:val="24"/>
          <w:szCs w:val="24"/>
          <w:lang w:val="en-US"/>
        </w:rPr>
        <w:t xml:space="preserve">Thus, Georgian companies face a moderate risk of corruption. Georgian legislation provides a high level of transparency in </w:t>
      </w:r>
      <w:r>
        <w:rPr>
          <w:rFonts w:ascii="Arial" w:hAnsi="Arial" w:cs="Arial"/>
          <w:sz w:val="24"/>
          <w:szCs w:val="24"/>
          <w:lang w:val="en-US"/>
        </w:rPr>
        <w:t>public procurement</w:t>
      </w:r>
      <w:r w:rsidRPr="00A20704">
        <w:rPr>
          <w:rFonts w:ascii="Arial" w:hAnsi="Arial" w:cs="Arial"/>
          <w:sz w:val="24"/>
          <w:szCs w:val="24"/>
          <w:lang w:val="en-US"/>
        </w:rPr>
        <w:t>, which ensures</w:t>
      </w:r>
      <w:r>
        <w:rPr>
          <w:rFonts w:ascii="Arial" w:hAnsi="Arial" w:cs="Arial"/>
          <w:sz w:val="24"/>
          <w:szCs w:val="24"/>
          <w:lang w:val="en-US"/>
        </w:rPr>
        <w:t xml:space="preserve"> an inclusion of a larger number of firms through</w:t>
      </w:r>
      <w:r w:rsidRPr="00A20704">
        <w:rPr>
          <w:rFonts w:ascii="Arial" w:hAnsi="Arial" w:cs="Arial"/>
          <w:sz w:val="24"/>
          <w:szCs w:val="24"/>
          <w:lang w:val="en-US"/>
        </w:rPr>
        <w:t xml:space="preserve"> non-discriminatory terms, enhancing competition</w:t>
      </w:r>
      <w:r w:rsidR="008C750D" w:rsidRPr="00A20704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and minimizing corruption risks</w:t>
      </w:r>
      <w:r w:rsidR="008C750D" w:rsidRPr="00A20704">
        <w:rPr>
          <w:rFonts w:ascii="Arial" w:hAnsi="Arial" w:cs="Arial"/>
          <w:sz w:val="24"/>
          <w:szCs w:val="24"/>
          <w:lang w:val="en-US"/>
        </w:rPr>
        <w:t xml:space="preserve">. </w:t>
      </w:r>
      <w:r w:rsidRPr="00A20704">
        <w:rPr>
          <w:rFonts w:ascii="Arial" w:hAnsi="Arial" w:cs="Arial"/>
          <w:sz w:val="24"/>
          <w:szCs w:val="24"/>
          <w:lang w:val="en-US"/>
        </w:rPr>
        <w:t xml:space="preserve">In addition, the country has developed a unified legal framework in the form of Criminal Code. However, Georgian legislation does not fully provide enforcement: </w:t>
      </w:r>
      <w:r>
        <w:rPr>
          <w:rFonts w:ascii="Arial" w:hAnsi="Arial" w:cs="Arial"/>
          <w:sz w:val="24"/>
          <w:szCs w:val="24"/>
          <w:lang w:val="en-US"/>
        </w:rPr>
        <w:t xml:space="preserve">indeed, </w:t>
      </w:r>
      <w:r w:rsidRPr="00A20704">
        <w:rPr>
          <w:rFonts w:ascii="Arial" w:hAnsi="Arial" w:cs="Arial"/>
          <w:sz w:val="24"/>
          <w:szCs w:val="24"/>
          <w:lang w:val="en-US"/>
        </w:rPr>
        <w:t>there are certain shortcomings in the judicial system and public procurement</w:t>
      </w:r>
      <w:r w:rsidR="008C750D" w:rsidRPr="00A20704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In</w:t>
      </w:r>
      <w:r w:rsidRPr="00A2070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particular</w:t>
      </w:r>
      <w:r w:rsidRPr="00A20704">
        <w:rPr>
          <w:rFonts w:ascii="Arial" w:hAnsi="Arial" w:cs="Arial"/>
          <w:sz w:val="24"/>
          <w:szCs w:val="24"/>
          <w:lang w:val="en-US"/>
        </w:rPr>
        <w:t>, there is an understaffing of the judiciary due to the lack of specialized judges in the field of public procurement.</w:t>
      </w:r>
      <w:r w:rsidR="008C750D" w:rsidRPr="00A20704">
        <w:rPr>
          <w:rFonts w:ascii="Arial" w:hAnsi="Arial" w:cs="Arial"/>
          <w:sz w:val="24"/>
          <w:szCs w:val="24"/>
          <w:lang w:val="en-US"/>
        </w:rPr>
        <w:t xml:space="preserve"> </w:t>
      </w:r>
      <w:r w:rsidRPr="00A20704">
        <w:rPr>
          <w:rFonts w:ascii="Arial" w:hAnsi="Arial" w:cs="Arial"/>
          <w:sz w:val="24"/>
          <w:szCs w:val="24"/>
          <w:lang w:val="en-US"/>
        </w:rPr>
        <w:t xml:space="preserve">In addition, Georgian legislation is not flexible enough and does not provide incentive mechanisms for simplifying formal procedures. Secondly, according to Transparency International, the risk of corruption in the </w:t>
      </w:r>
      <w:r>
        <w:rPr>
          <w:rFonts w:ascii="Arial" w:hAnsi="Arial" w:cs="Arial"/>
          <w:sz w:val="24"/>
          <w:szCs w:val="24"/>
          <w:lang w:val="en-US"/>
        </w:rPr>
        <w:t>national defense sector remains high</w:t>
      </w:r>
      <w:r w:rsidR="008C750D" w:rsidRPr="00A20704">
        <w:rPr>
          <w:rFonts w:ascii="Arial" w:hAnsi="Arial" w:cs="Arial"/>
          <w:sz w:val="24"/>
          <w:szCs w:val="24"/>
          <w:lang w:val="en-US"/>
        </w:rPr>
        <w:t xml:space="preserve">. </w:t>
      </w:r>
      <w:r w:rsidRPr="00A20704">
        <w:rPr>
          <w:rFonts w:ascii="Arial" w:hAnsi="Arial" w:cs="Arial"/>
          <w:sz w:val="24"/>
          <w:szCs w:val="24"/>
          <w:lang w:val="en-US"/>
        </w:rPr>
        <w:t xml:space="preserve">Thirdly, </w:t>
      </w:r>
      <w:r w:rsidRPr="00A20704">
        <w:rPr>
          <w:rFonts w:ascii="Arial" w:hAnsi="Arial" w:cs="Arial"/>
          <w:sz w:val="24"/>
          <w:szCs w:val="24"/>
          <w:lang w:val="en-US"/>
        </w:rPr>
        <w:t>transparency</w:t>
      </w:r>
      <w:r w:rsidRPr="00A20704">
        <w:rPr>
          <w:rFonts w:ascii="Arial" w:hAnsi="Arial" w:cs="Arial"/>
          <w:sz w:val="24"/>
          <w:szCs w:val="24"/>
          <w:lang w:val="en-US"/>
        </w:rPr>
        <w:t xml:space="preserve"> provisions of the Law on Public Procurement do not apply to certain areas, including</w:t>
      </w:r>
      <w:r>
        <w:rPr>
          <w:rFonts w:ascii="Arial" w:hAnsi="Arial" w:cs="Arial"/>
          <w:sz w:val="24"/>
          <w:szCs w:val="24"/>
          <w:lang w:val="en-US"/>
        </w:rPr>
        <w:t xml:space="preserve"> the Reserve Fund of Georgia’s President</w:t>
      </w:r>
      <w:r w:rsidR="008C750D" w:rsidRPr="00A2070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government and </w:t>
      </w:r>
      <w:r w:rsidR="0020682A">
        <w:rPr>
          <w:rFonts w:ascii="Arial" w:hAnsi="Arial" w:cs="Arial"/>
          <w:sz w:val="24"/>
          <w:szCs w:val="24"/>
          <w:lang w:val="en-US"/>
        </w:rPr>
        <w:t>Tbilisi mayor office</w:t>
      </w:r>
      <w:r w:rsidR="008C750D" w:rsidRPr="00A20704">
        <w:rPr>
          <w:rFonts w:ascii="Arial" w:hAnsi="Arial" w:cs="Arial"/>
          <w:sz w:val="24"/>
          <w:szCs w:val="24"/>
          <w:lang w:val="en-US"/>
        </w:rPr>
        <w:t xml:space="preserve">, </w:t>
      </w:r>
      <w:r w:rsidR="0020682A">
        <w:rPr>
          <w:rFonts w:ascii="Arial" w:hAnsi="Arial" w:cs="Arial"/>
          <w:sz w:val="24"/>
          <w:szCs w:val="24"/>
          <w:lang w:val="en-US"/>
        </w:rPr>
        <w:t xml:space="preserve">which </w:t>
      </w:r>
      <w:proofErr w:type="gramStart"/>
      <w:r w:rsidR="0020682A">
        <w:rPr>
          <w:rFonts w:ascii="Arial" w:hAnsi="Arial" w:cs="Arial"/>
          <w:sz w:val="24"/>
          <w:szCs w:val="24"/>
          <w:lang w:val="en-US"/>
        </w:rPr>
        <w:t>have been excluded</w:t>
      </w:r>
      <w:proofErr w:type="gramEnd"/>
      <w:r w:rsidR="0020682A">
        <w:rPr>
          <w:rFonts w:ascii="Arial" w:hAnsi="Arial" w:cs="Arial"/>
          <w:sz w:val="24"/>
          <w:szCs w:val="24"/>
          <w:lang w:val="en-US"/>
        </w:rPr>
        <w:t xml:space="preserve"> from the scope of Law</w:t>
      </w:r>
      <w:r w:rsidR="008C750D" w:rsidRPr="00A20704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8C750D" w:rsidRDefault="0020682A" w:rsidP="008C75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analysis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is summarized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in Table 1 below.</w:t>
      </w:r>
    </w:p>
    <w:p w:rsidR="0020682A" w:rsidRPr="0020682A" w:rsidRDefault="0020682A" w:rsidP="0020682A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u w:val="single"/>
          <w:lang w:val="en-US"/>
        </w:rPr>
        <w:lastRenderedPageBreak/>
        <w:t>Table</w:t>
      </w:r>
      <w:r w:rsidRPr="0020682A">
        <w:rPr>
          <w:rFonts w:ascii="Arial" w:hAnsi="Arial" w:cs="Arial"/>
          <w:b/>
          <w:sz w:val="24"/>
          <w:u w:val="single"/>
          <w:lang w:val="en-US"/>
        </w:rPr>
        <w:t xml:space="preserve"> 1</w:t>
      </w:r>
      <w:r w:rsidRPr="0020682A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An analysis of strengths and shortcomings in procurement anti-corruption</w:t>
      </w:r>
    </w:p>
    <w:p w:rsidR="0020682A" w:rsidRPr="0020682A" w:rsidRDefault="0020682A" w:rsidP="0020682A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071"/>
        <w:gridCol w:w="1399"/>
        <w:gridCol w:w="3343"/>
        <w:gridCol w:w="3827"/>
      </w:tblGrid>
      <w:tr w:rsidR="0020682A" w:rsidTr="00F47282">
        <w:tc>
          <w:tcPr>
            <w:tcW w:w="1071" w:type="dxa"/>
          </w:tcPr>
          <w:p w:rsidR="0020682A" w:rsidRPr="0020682A" w:rsidRDefault="0020682A" w:rsidP="006E000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Nation</w:t>
            </w:r>
          </w:p>
        </w:tc>
        <w:tc>
          <w:tcPr>
            <w:tcW w:w="1399" w:type="dxa"/>
          </w:tcPr>
          <w:p w:rsidR="0020682A" w:rsidRPr="0020682A" w:rsidRDefault="0020682A" w:rsidP="006E000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Risk level</w:t>
            </w:r>
          </w:p>
        </w:tc>
        <w:tc>
          <w:tcPr>
            <w:tcW w:w="3343" w:type="dxa"/>
          </w:tcPr>
          <w:p w:rsidR="0020682A" w:rsidRPr="0020682A" w:rsidRDefault="0020682A" w:rsidP="006E000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Effective measures</w:t>
            </w:r>
          </w:p>
        </w:tc>
        <w:tc>
          <w:tcPr>
            <w:tcW w:w="3827" w:type="dxa"/>
          </w:tcPr>
          <w:p w:rsidR="0020682A" w:rsidRPr="0020682A" w:rsidRDefault="0020682A" w:rsidP="006E000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Outstanding issues</w:t>
            </w:r>
          </w:p>
        </w:tc>
      </w:tr>
      <w:tr w:rsidR="0020682A" w:rsidRPr="0020682A" w:rsidTr="00F47282">
        <w:tc>
          <w:tcPr>
            <w:tcW w:w="1071" w:type="dxa"/>
          </w:tcPr>
          <w:p w:rsidR="0020682A" w:rsidRPr="007B29E8" w:rsidRDefault="0020682A" w:rsidP="006E0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Canada</w:t>
            </w:r>
            <w:r w:rsidRPr="007B29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9" w:type="dxa"/>
          </w:tcPr>
          <w:p w:rsidR="0020682A" w:rsidRPr="007B29E8" w:rsidRDefault="0020682A" w:rsidP="006E0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Medium</w:t>
            </w:r>
            <w:r w:rsidRPr="007B29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43" w:type="dxa"/>
          </w:tcPr>
          <w:p w:rsidR="0020682A" w:rsidRPr="0020682A" w:rsidRDefault="0020682A" w:rsidP="006E000F">
            <w:pPr>
              <w:rPr>
                <w:rFonts w:ascii="Arial" w:hAnsi="Arial" w:cs="Arial"/>
                <w:lang w:val="en-US"/>
              </w:rPr>
            </w:pPr>
            <w:r w:rsidRPr="0020682A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Wide legislative base</w:t>
            </w:r>
          </w:p>
          <w:p w:rsidR="0020682A" w:rsidRPr="0020682A" w:rsidRDefault="0020682A" w:rsidP="006E000F">
            <w:pPr>
              <w:rPr>
                <w:rFonts w:ascii="Arial" w:hAnsi="Arial" w:cs="Arial"/>
                <w:lang w:val="en-US"/>
              </w:rPr>
            </w:pPr>
            <w:r w:rsidRPr="0020682A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 xml:space="preserve">The </w:t>
            </w:r>
            <w:r w:rsidRPr="0020682A">
              <w:rPr>
                <w:rFonts w:ascii="Arial" w:hAnsi="Arial" w:cs="Arial"/>
                <w:lang w:val="en-US"/>
              </w:rPr>
              <w:t>Certificate of Independent Bid Determination</w:t>
            </w:r>
          </w:p>
          <w:p w:rsidR="0020682A" w:rsidRPr="0020682A" w:rsidRDefault="0020682A" w:rsidP="006E000F">
            <w:pPr>
              <w:rPr>
                <w:rFonts w:ascii="Arial" w:hAnsi="Arial" w:cs="Arial"/>
                <w:lang w:val="en-US"/>
              </w:rPr>
            </w:pPr>
            <w:r w:rsidRPr="0020682A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Integrity and rule of law</w:t>
            </w:r>
          </w:p>
          <w:p w:rsidR="0020682A" w:rsidRPr="0020682A" w:rsidRDefault="0020682A" w:rsidP="0020682A">
            <w:pPr>
              <w:rPr>
                <w:rFonts w:ascii="Arial" w:hAnsi="Arial" w:cs="Arial"/>
                <w:lang w:val="en-US"/>
              </w:rPr>
            </w:pPr>
            <w:r w:rsidRPr="0020682A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The Procurement Ombudsman</w:t>
            </w:r>
          </w:p>
        </w:tc>
        <w:tc>
          <w:tcPr>
            <w:tcW w:w="3827" w:type="dxa"/>
          </w:tcPr>
          <w:p w:rsidR="0020682A" w:rsidRPr="0020682A" w:rsidRDefault="0020682A" w:rsidP="006E0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Law</w:t>
            </w:r>
            <w:r w:rsidRPr="002068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gaps</w:t>
            </w:r>
          </w:p>
          <w:p w:rsidR="0020682A" w:rsidRPr="0020682A" w:rsidRDefault="0020682A" w:rsidP="006E000F">
            <w:pPr>
              <w:jc w:val="both"/>
              <w:rPr>
                <w:rFonts w:ascii="Arial" w:hAnsi="Arial" w:cs="Arial"/>
                <w:lang w:val="en-US"/>
              </w:rPr>
            </w:pPr>
            <w:r w:rsidRPr="0020682A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High</w:t>
            </w:r>
            <w:r w:rsidRPr="0020682A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risk</w:t>
            </w:r>
            <w:r w:rsidRPr="0020682A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in</w:t>
            </w:r>
            <w:r w:rsidRPr="0020682A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some</w:t>
            </w:r>
            <w:r w:rsidRPr="0020682A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industries</w:t>
            </w:r>
            <w:r w:rsidRPr="0020682A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e</w:t>
            </w:r>
            <w:r w:rsidRPr="0020682A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g</w:t>
            </w:r>
            <w:r w:rsidRPr="0020682A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construction in Quebec</w:t>
            </w:r>
            <w:r w:rsidRPr="0020682A">
              <w:rPr>
                <w:rFonts w:ascii="Arial" w:hAnsi="Arial" w:cs="Arial"/>
                <w:lang w:val="en-US"/>
              </w:rPr>
              <w:t>)</w:t>
            </w:r>
          </w:p>
          <w:p w:rsidR="0020682A" w:rsidRPr="0020682A" w:rsidRDefault="0020682A" w:rsidP="0020682A">
            <w:pPr>
              <w:jc w:val="both"/>
              <w:rPr>
                <w:rFonts w:ascii="Arial" w:hAnsi="Arial" w:cs="Arial"/>
                <w:lang w:val="en-US"/>
              </w:rPr>
            </w:pPr>
            <w:r w:rsidRPr="0020682A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Unethical behavior of firms in Third World nations</w:t>
            </w:r>
          </w:p>
        </w:tc>
      </w:tr>
      <w:tr w:rsidR="0020682A" w:rsidRPr="0020682A" w:rsidTr="00F47282">
        <w:tc>
          <w:tcPr>
            <w:tcW w:w="1071" w:type="dxa"/>
          </w:tcPr>
          <w:p w:rsidR="0020682A" w:rsidRPr="007B29E8" w:rsidRDefault="0020682A" w:rsidP="006E0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Estonia</w:t>
            </w:r>
            <w:r w:rsidRPr="007B29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9" w:type="dxa"/>
          </w:tcPr>
          <w:p w:rsidR="0020682A" w:rsidRPr="007B29E8" w:rsidRDefault="0020682A" w:rsidP="006E0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Medium</w:t>
            </w:r>
            <w:r w:rsidRPr="007B29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43" w:type="dxa"/>
          </w:tcPr>
          <w:p w:rsidR="0020682A" w:rsidRPr="0020682A" w:rsidRDefault="0020682A" w:rsidP="006E000F">
            <w:pPr>
              <w:jc w:val="both"/>
              <w:rPr>
                <w:rFonts w:ascii="Arial" w:hAnsi="Arial" w:cs="Arial"/>
                <w:lang w:val="en-US"/>
              </w:rPr>
            </w:pPr>
            <w:r w:rsidRPr="0020682A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Full digitization of procurement</w:t>
            </w:r>
          </w:p>
          <w:p w:rsidR="0020682A" w:rsidRPr="0020682A" w:rsidRDefault="0020682A" w:rsidP="006E000F">
            <w:pPr>
              <w:jc w:val="both"/>
              <w:rPr>
                <w:rFonts w:ascii="Arial" w:hAnsi="Arial" w:cs="Arial"/>
                <w:lang w:val="en-US"/>
              </w:rPr>
            </w:pPr>
            <w:r w:rsidRPr="0020682A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Single Law on procurement</w:t>
            </w:r>
          </w:p>
          <w:p w:rsidR="0020682A" w:rsidRPr="0020682A" w:rsidRDefault="0020682A" w:rsidP="006E000F">
            <w:pPr>
              <w:jc w:val="both"/>
              <w:rPr>
                <w:rFonts w:ascii="Arial" w:hAnsi="Arial" w:cs="Arial"/>
                <w:lang w:val="en-US"/>
              </w:rPr>
            </w:pPr>
            <w:r w:rsidRPr="0020682A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Crime and fine open-access</w:t>
            </w:r>
            <w:r w:rsidRPr="0020682A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database</w:t>
            </w:r>
          </w:p>
          <w:p w:rsidR="0020682A" w:rsidRPr="0020682A" w:rsidRDefault="0020682A" w:rsidP="0020682A">
            <w:pPr>
              <w:jc w:val="both"/>
              <w:rPr>
                <w:rFonts w:ascii="Arial" w:hAnsi="Arial" w:cs="Arial"/>
                <w:lang w:val="en-US"/>
              </w:rPr>
            </w:pPr>
            <w:r w:rsidRPr="0020682A">
              <w:rPr>
                <w:rFonts w:ascii="Arial" w:hAnsi="Arial" w:cs="Arial"/>
                <w:lang w:val="en-US"/>
              </w:rPr>
              <w:t xml:space="preserve">- </w:t>
            </w:r>
            <w:r w:rsidRPr="0020682A">
              <w:rPr>
                <w:rFonts w:ascii="Arial" w:hAnsi="Arial" w:cs="Arial"/>
                <w:lang w:val="en-US"/>
              </w:rPr>
              <w:t>Willingness to integrate the EU Single Procurement Document</w:t>
            </w:r>
          </w:p>
        </w:tc>
        <w:tc>
          <w:tcPr>
            <w:tcW w:w="3827" w:type="dxa"/>
          </w:tcPr>
          <w:p w:rsidR="0020682A" w:rsidRPr="0020682A" w:rsidRDefault="0020682A" w:rsidP="006E000F">
            <w:pPr>
              <w:jc w:val="both"/>
              <w:rPr>
                <w:rFonts w:ascii="Arial" w:hAnsi="Arial" w:cs="Arial"/>
                <w:lang w:val="en-US"/>
              </w:rPr>
            </w:pPr>
            <w:r w:rsidRPr="0020682A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Favoritism among civil servants</w:t>
            </w:r>
          </w:p>
          <w:p w:rsidR="0020682A" w:rsidRPr="0020682A" w:rsidRDefault="0020682A" w:rsidP="006E000F">
            <w:pPr>
              <w:jc w:val="both"/>
              <w:rPr>
                <w:rFonts w:ascii="Arial" w:hAnsi="Arial" w:cs="Arial"/>
                <w:lang w:val="en-US"/>
              </w:rPr>
            </w:pPr>
            <w:r w:rsidRPr="0020682A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Small business communities</w:t>
            </w:r>
          </w:p>
          <w:p w:rsidR="0020682A" w:rsidRPr="0020682A" w:rsidRDefault="0020682A" w:rsidP="006E000F">
            <w:pPr>
              <w:jc w:val="both"/>
              <w:rPr>
                <w:rFonts w:ascii="Arial" w:hAnsi="Arial" w:cs="Arial"/>
                <w:lang w:val="en-US"/>
              </w:rPr>
            </w:pPr>
            <w:r w:rsidRPr="0020682A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Conflict of interest</w:t>
            </w:r>
          </w:p>
          <w:p w:rsidR="0020682A" w:rsidRPr="0020682A" w:rsidRDefault="0020682A" w:rsidP="0020682A">
            <w:pPr>
              <w:jc w:val="both"/>
              <w:rPr>
                <w:rFonts w:ascii="Arial" w:hAnsi="Arial" w:cs="Arial"/>
                <w:lang w:val="en-US"/>
              </w:rPr>
            </w:pPr>
            <w:r w:rsidRPr="0020682A">
              <w:rPr>
                <w:rFonts w:ascii="Arial" w:hAnsi="Arial" w:cs="Arial"/>
                <w:lang w:val="en-US"/>
              </w:rPr>
              <w:t>- Complication through the introduction of internal procedures</w:t>
            </w:r>
          </w:p>
          <w:p w:rsidR="0020682A" w:rsidRPr="0020682A" w:rsidRDefault="0020682A" w:rsidP="0020682A">
            <w:pPr>
              <w:jc w:val="both"/>
              <w:rPr>
                <w:rFonts w:ascii="Arial" w:hAnsi="Arial" w:cs="Arial"/>
                <w:lang w:val="en-US"/>
              </w:rPr>
            </w:pPr>
            <w:r w:rsidRPr="0020682A">
              <w:rPr>
                <w:rFonts w:ascii="Arial" w:hAnsi="Arial" w:cs="Arial"/>
                <w:lang w:val="en-US"/>
              </w:rPr>
              <w:t>- The need to introduce quality indicators</w:t>
            </w:r>
          </w:p>
        </w:tc>
      </w:tr>
      <w:tr w:rsidR="0020682A" w:rsidRPr="00F47282" w:rsidTr="00F47282">
        <w:tc>
          <w:tcPr>
            <w:tcW w:w="1071" w:type="dxa"/>
          </w:tcPr>
          <w:p w:rsidR="0020682A" w:rsidRPr="007B29E8" w:rsidRDefault="0020682A" w:rsidP="006E0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Georgia</w:t>
            </w:r>
            <w:r w:rsidRPr="007B29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9" w:type="dxa"/>
          </w:tcPr>
          <w:p w:rsidR="0020682A" w:rsidRPr="007B29E8" w:rsidRDefault="0020682A" w:rsidP="006E0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Moderate</w:t>
            </w:r>
            <w:r w:rsidRPr="007B29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43" w:type="dxa"/>
          </w:tcPr>
          <w:p w:rsidR="0020682A" w:rsidRPr="007A027A" w:rsidRDefault="0020682A" w:rsidP="006E000F">
            <w:pPr>
              <w:jc w:val="both"/>
              <w:rPr>
                <w:rFonts w:ascii="Arial" w:hAnsi="Arial" w:cs="Arial"/>
              </w:rPr>
            </w:pPr>
            <w:r w:rsidRPr="007A027A">
              <w:rPr>
                <w:rFonts w:ascii="Arial" w:hAnsi="Arial" w:cs="Arial"/>
              </w:rPr>
              <w:t xml:space="preserve">- </w:t>
            </w:r>
            <w:r w:rsidR="00F47282">
              <w:rPr>
                <w:rFonts w:ascii="Arial" w:hAnsi="Arial" w:cs="Arial"/>
                <w:lang w:val="en-US"/>
              </w:rPr>
              <w:t>Effective</w:t>
            </w:r>
            <w:r w:rsidR="00F47282" w:rsidRPr="00F47282">
              <w:rPr>
                <w:rFonts w:ascii="Arial" w:hAnsi="Arial" w:cs="Arial"/>
              </w:rPr>
              <w:t xml:space="preserve"> </w:t>
            </w:r>
            <w:r w:rsidR="00F47282">
              <w:rPr>
                <w:rFonts w:ascii="Arial" w:hAnsi="Arial" w:cs="Arial"/>
                <w:lang w:val="en-US"/>
              </w:rPr>
              <w:t>laws</w:t>
            </w:r>
            <w:r w:rsidRPr="007A027A">
              <w:rPr>
                <w:rFonts w:ascii="Arial" w:hAnsi="Arial" w:cs="Arial"/>
              </w:rPr>
              <w:t xml:space="preserve">  </w:t>
            </w:r>
          </w:p>
          <w:p w:rsidR="0020682A" w:rsidRPr="00F47282" w:rsidRDefault="0020682A" w:rsidP="006E000F">
            <w:pPr>
              <w:jc w:val="both"/>
              <w:rPr>
                <w:rFonts w:ascii="Arial" w:hAnsi="Arial" w:cs="Arial"/>
                <w:lang w:val="en-US"/>
              </w:rPr>
            </w:pPr>
            <w:r w:rsidRPr="00F47282">
              <w:rPr>
                <w:rFonts w:ascii="Arial" w:hAnsi="Arial" w:cs="Arial"/>
                <w:lang w:val="en-US"/>
              </w:rPr>
              <w:t xml:space="preserve">- </w:t>
            </w:r>
            <w:r w:rsidR="00F47282">
              <w:rPr>
                <w:rFonts w:ascii="Arial" w:hAnsi="Arial" w:cs="Arial"/>
                <w:lang w:val="en-US"/>
              </w:rPr>
              <w:t>Reliable</w:t>
            </w:r>
            <w:r w:rsidR="00F47282" w:rsidRPr="00F47282">
              <w:rPr>
                <w:rFonts w:ascii="Arial" w:hAnsi="Arial" w:cs="Arial"/>
                <w:lang w:val="en-US"/>
              </w:rPr>
              <w:t xml:space="preserve"> </w:t>
            </w:r>
            <w:r w:rsidR="00F47282">
              <w:rPr>
                <w:rFonts w:ascii="Arial" w:hAnsi="Arial" w:cs="Arial"/>
                <w:lang w:val="en-US"/>
              </w:rPr>
              <w:t>anti</w:t>
            </w:r>
            <w:r w:rsidR="00F47282" w:rsidRPr="00F47282">
              <w:rPr>
                <w:rFonts w:ascii="Arial" w:hAnsi="Arial" w:cs="Arial"/>
                <w:lang w:val="en-US"/>
              </w:rPr>
              <w:t>-</w:t>
            </w:r>
            <w:r w:rsidR="00F47282">
              <w:rPr>
                <w:rFonts w:ascii="Arial" w:hAnsi="Arial" w:cs="Arial"/>
                <w:lang w:val="en-US"/>
              </w:rPr>
              <w:t>corruption</w:t>
            </w:r>
            <w:r w:rsidR="00F47282" w:rsidRPr="00F47282">
              <w:rPr>
                <w:rFonts w:ascii="Arial" w:hAnsi="Arial" w:cs="Arial"/>
                <w:lang w:val="en-US"/>
              </w:rPr>
              <w:t xml:space="preserve"> </w:t>
            </w:r>
            <w:r w:rsidR="00F47282">
              <w:rPr>
                <w:rFonts w:ascii="Arial" w:hAnsi="Arial" w:cs="Arial"/>
                <w:lang w:val="en-US"/>
              </w:rPr>
              <w:t>base</w:t>
            </w:r>
            <w:r w:rsidRPr="00F47282">
              <w:rPr>
                <w:rFonts w:ascii="Arial" w:hAnsi="Arial" w:cs="Arial"/>
                <w:lang w:val="en-US"/>
              </w:rPr>
              <w:t xml:space="preserve"> (</w:t>
            </w:r>
            <w:r w:rsidR="00F47282">
              <w:rPr>
                <w:rFonts w:ascii="Arial" w:hAnsi="Arial" w:cs="Arial"/>
                <w:lang w:val="en-US"/>
              </w:rPr>
              <w:t>the Criminal Code and Law on public procurement</w:t>
            </w:r>
            <w:r w:rsidRPr="00F47282">
              <w:rPr>
                <w:rFonts w:ascii="Arial" w:hAnsi="Arial" w:cs="Arial"/>
                <w:lang w:val="en-US"/>
              </w:rPr>
              <w:t xml:space="preserve">) </w:t>
            </w:r>
          </w:p>
          <w:p w:rsidR="0020682A" w:rsidRPr="007A027A" w:rsidRDefault="0020682A" w:rsidP="00F47282">
            <w:pPr>
              <w:rPr>
                <w:rFonts w:ascii="Arial" w:hAnsi="Arial" w:cs="Arial"/>
              </w:rPr>
            </w:pPr>
            <w:r w:rsidRPr="007A027A">
              <w:rPr>
                <w:rFonts w:ascii="Arial" w:hAnsi="Arial" w:cs="Arial"/>
              </w:rPr>
              <w:t xml:space="preserve">- </w:t>
            </w:r>
            <w:proofErr w:type="spellStart"/>
            <w:r w:rsidR="00F47282" w:rsidRPr="00F47282">
              <w:rPr>
                <w:rFonts w:ascii="Arial" w:hAnsi="Arial" w:cs="Arial"/>
              </w:rPr>
              <w:t>Transparen</w:t>
            </w:r>
            <w:proofErr w:type="spellEnd"/>
            <w:r w:rsidR="00F47282">
              <w:rPr>
                <w:rFonts w:ascii="Arial" w:hAnsi="Arial" w:cs="Arial"/>
                <w:lang w:val="en-US"/>
              </w:rPr>
              <w:t>t</w:t>
            </w:r>
            <w:r w:rsidR="00F47282" w:rsidRPr="00F47282">
              <w:rPr>
                <w:rFonts w:ascii="Arial" w:hAnsi="Arial" w:cs="Arial"/>
              </w:rPr>
              <w:t xml:space="preserve"> </w:t>
            </w:r>
            <w:proofErr w:type="spellStart"/>
            <w:r w:rsidR="00F47282" w:rsidRPr="00F47282">
              <w:rPr>
                <w:rFonts w:ascii="Arial" w:hAnsi="Arial" w:cs="Arial"/>
              </w:rPr>
              <w:t>public</w:t>
            </w:r>
            <w:proofErr w:type="spellEnd"/>
            <w:r w:rsidR="00F47282" w:rsidRPr="00F47282">
              <w:rPr>
                <w:rFonts w:ascii="Arial" w:hAnsi="Arial" w:cs="Arial"/>
              </w:rPr>
              <w:t xml:space="preserve"> </w:t>
            </w:r>
            <w:proofErr w:type="spellStart"/>
            <w:r w:rsidR="00F47282" w:rsidRPr="00F47282">
              <w:rPr>
                <w:rFonts w:ascii="Arial" w:hAnsi="Arial" w:cs="Arial"/>
              </w:rPr>
              <w:t>procurement</w:t>
            </w:r>
            <w:proofErr w:type="spellEnd"/>
          </w:p>
        </w:tc>
        <w:tc>
          <w:tcPr>
            <w:tcW w:w="3827" w:type="dxa"/>
          </w:tcPr>
          <w:p w:rsidR="00F47282" w:rsidRPr="00F47282" w:rsidRDefault="0020682A" w:rsidP="00F47282">
            <w:pPr>
              <w:rPr>
                <w:rFonts w:ascii="Arial" w:hAnsi="Arial" w:cs="Arial"/>
              </w:rPr>
            </w:pPr>
            <w:r w:rsidRPr="007A027A">
              <w:rPr>
                <w:rFonts w:ascii="Arial" w:hAnsi="Arial" w:cs="Arial"/>
              </w:rPr>
              <w:t xml:space="preserve">- </w:t>
            </w:r>
            <w:proofErr w:type="spellStart"/>
            <w:r w:rsidR="00F47282" w:rsidRPr="00F47282">
              <w:rPr>
                <w:rFonts w:ascii="Arial" w:hAnsi="Arial" w:cs="Arial"/>
              </w:rPr>
              <w:t>Limited</w:t>
            </w:r>
            <w:proofErr w:type="spellEnd"/>
            <w:r w:rsidR="00F47282" w:rsidRPr="00F47282">
              <w:rPr>
                <w:rFonts w:ascii="Arial" w:hAnsi="Arial" w:cs="Arial"/>
              </w:rPr>
              <w:t xml:space="preserve"> </w:t>
            </w:r>
            <w:proofErr w:type="spellStart"/>
            <w:r w:rsidR="00F47282" w:rsidRPr="00F47282">
              <w:rPr>
                <w:rFonts w:ascii="Arial" w:hAnsi="Arial" w:cs="Arial"/>
              </w:rPr>
              <w:t>enforcement</w:t>
            </w:r>
            <w:proofErr w:type="spellEnd"/>
          </w:p>
          <w:p w:rsidR="00F47282" w:rsidRPr="00F47282" w:rsidRDefault="00F47282" w:rsidP="00F472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U</w:t>
            </w:r>
            <w:r w:rsidRPr="00F47282">
              <w:rPr>
                <w:rFonts w:ascii="Arial" w:hAnsi="Arial" w:cs="Arial"/>
              </w:rPr>
              <w:t>nderstaffed</w:t>
            </w:r>
            <w:proofErr w:type="spellEnd"/>
            <w:r w:rsidRPr="00F47282">
              <w:rPr>
                <w:rFonts w:ascii="Arial" w:hAnsi="Arial" w:cs="Arial"/>
              </w:rPr>
              <w:t xml:space="preserve"> </w:t>
            </w:r>
            <w:proofErr w:type="spellStart"/>
            <w:r w:rsidRPr="00F47282">
              <w:rPr>
                <w:rFonts w:ascii="Arial" w:hAnsi="Arial" w:cs="Arial"/>
              </w:rPr>
              <w:t>judiciary</w:t>
            </w:r>
            <w:proofErr w:type="spellEnd"/>
          </w:p>
          <w:p w:rsidR="00F47282" w:rsidRDefault="00F47282" w:rsidP="00F47282">
            <w:pPr>
              <w:rPr>
                <w:rFonts w:ascii="Arial" w:hAnsi="Arial" w:cs="Arial"/>
              </w:rPr>
            </w:pPr>
            <w:r w:rsidRPr="00F47282">
              <w:rPr>
                <w:rFonts w:ascii="Arial" w:hAnsi="Arial" w:cs="Arial"/>
              </w:rPr>
              <w:t xml:space="preserve">- </w:t>
            </w:r>
            <w:proofErr w:type="spellStart"/>
            <w:r w:rsidRPr="00F47282">
              <w:rPr>
                <w:rFonts w:ascii="Arial" w:hAnsi="Arial" w:cs="Arial"/>
              </w:rPr>
              <w:t>The</w:t>
            </w:r>
            <w:proofErr w:type="spellEnd"/>
            <w:r w:rsidRPr="00F47282">
              <w:rPr>
                <w:rFonts w:ascii="Arial" w:hAnsi="Arial" w:cs="Arial"/>
              </w:rPr>
              <w:t xml:space="preserve"> </w:t>
            </w:r>
            <w:proofErr w:type="spellStart"/>
            <w:r w:rsidRPr="00F47282">
              <w:rPr>
                <w:rFonts w:ascii="Arial" w:hAnsi="Arial" w:cs="Arial"/>
              </w:rPr>
              <w:t>risk</w:t>
            </w:r>
            <w:proofErr w:type="spellEnd"/>
            <w:r w:rsidRPr="00F47282">
              <w:rPr>
                <w:rFonts w:ascii="Arial" w:hAnsi="Arial" w:cs="Arial"/>
              </w:rPr>
              <w:t xml:space="preserve"> </w:t>
            </w:r>
            <w:proofErr w:type="spellStart"/>
            <w:r w:rsidRPr="00F47282">
              <w:rPr>
                <w:rFonts w:ascii="Arial" w:hAnsi="Arial" w:cs="Arial"/>
              </w:rPr>
              <w:t>of</w:t>
            </w:r>
            <w:proofErr w:type="spellEnd"/>
            <w:r w:rsidRPr="00F47282">
              <w:rPr>
                <w:rFonts w:ascii="Arial" w:hAnsi="Arial" w:cs="Arial"/>
              </w:rPr>
              <w:t xml:space="preserve"> </w:t>
            </w:r>
            <w:proofErr w:type="spellStart"/>
            <w:r w:rsidRPr="00F47282">
              <w:rPr>
                <w:rFonts w:ascii="Arial" w:hAnsi="Arial" w:cs="Arial"/>
              </w:rPr>
              <w:t>corruption</w:t>
            </w:r>
            <w:proofErr w:type="spellEnd"/>
            <w:r w:rsidRPr="00F47282">
              <w:rPr>
                <w:rFonts w:ascii="Arial" w:hAnsi="Arial" w:cs="Arial"/>
              </w:rPr>
              <w:t xml:space="preserve"> </w:t>
            </w:r>
            <w:proofErr w:type="spellStart"/>
            <w:r w:rsidRPr="00F47282">
              <w:rPr>
                <w:rFonts w:ascii="Arial" w:hAnsi="Arial" w:cs="Arial"/>
              </w:rPr>
              <w:t>in</w:t>
            </w:r>
            <w:proofErr w:type="spellEnd"/>
            <w:r w:rsidRPr="00F47282">
              <w:rPr>
                <w:rFonts w:ascii="Arial" w:hAnsi="Arial" w:cs="Arial"/>
              </w:rPr>
              <w:t xml:space="preserve"> </w:t>
            </w:r>
            <w:proofErr w:type="spellStart"/>
            <w:r w:rsidRPr="00F47282">
              <w:rPr>
                <w:rFonts w:ascii="Arial" w:hAnsi="Arial" w:cs="Arial"/>
              </w:rPr>
              <w:t>the</w:t>
            </w:r>
            <w:proofErr w:type="spellEnd"/>
            <w:r w:rsidRPr="00F47282">
              <w:rPr>
                <w:rFonts w:ascii="Arial" w:hAnsi="Arial" w:cs="Arial"/>
              </w:rPr>
              <w:t xml:space="preserve"> </w:t>
            </w:r>
            <w:proofErr w:type="spellStart"/>
            <w:r w:rsidRPr="00F47282">
              <w:rPr>
                <w:rFonts w:ascii="Arial" w:hAnsi="Arial" w:cs="Arial"/>
              </w:rPr>
              <w:t>defense</w:t>
            </w:r>
            <w:proofErr w:type="spellEnd"/>
            <w:r w:rsidRPr="00F47282">
              <w:rPr>
                <w:rFonts w:ascii="Arial" w:hAnsi="Arial" w:cs="Arial"/>
              </w:rPr>
              <w:t xml:space="preserve"> </w:t>
            </w:r>
            <w:proofErr w:type="spellStart"/>
            <w:r w:rsidRPr="00F47282">
              <w:rPr>
                <w:rFonts w:ascii="Arial" w:hAnsi="Arial" w:cs="Arial"/>
              </w:rPr>
              <w:t>sector</w:t>
            </w:r>
            <w:proofErr w:type="spellEnd"/>
          </w:p>
          <w:p w:rsidR="0020682A" w:rsidRPr="00F47282" w:rsidRDefault="0020682A" w:rsidP="00F47282">
            <w:pPr>
              <w:rPr>
                <w:rFonts w:ascii="Arial" w:hAnsi="Arial" w:cs="Arial"/>
                <w:lang w:val="en-US"/>
              </w:rPr>
            </w:pPr>
            <w:r w:rsidRPr="00F47282">
              <w:rPr>
                <w:rFonts w:ascii="Arial" w:hAnsi="Arial" w:cs="Arial"/>
                <w:lang w:val="en-US"/>
              </w:rPr>
              <w:t xml:space="preserve">- </w:t>
            </w:r>
            <w:r w:rsidR="00F47282" w:rsidRPr="00F47282">
              <w:rPr>
                <w:rFonts w:ascii="Arial" w:hAnsi="Arial" w:cs="Arial"/>
                <w:lang w:val="en-US"/>
              </w:rPr>
              <w:t>T</w:t>
            </w:r>
            <w:r w:rsidR="00F47282" w:rsidRPr="00F47282">
              <w:rPr>
                <w:rFonts w:ascii="Arial" w:hAnsi="Arial" w:cs="Arial"/>
                <w:lang w:val="en-US"/>
              </w:rPr>
              <w:t>ransparency</w:t>
            </w:r>
            <w:r w:rsidR="00F47282" w:rsidRPr="00F47282">
              <w:rPr>
                <w:rFonts w:ascii="Arial" w:hAnsi="Arial" w:cs="Arial"/>
                <w:lang w:val="en-US"/>
              </w:rPr>
              <w:t xml:space="preserve"> provisions </w:t>
            </w:r>
            <w:r w:rsidR="00F47282">
              <w:rPr>
                <w:rFonts w:ascii="Arial" w:hAnsi="Arial" w:cs="Arial"/>
                <w:lang w:val="en-US"/>
              </w:rPr>
              <w:t>of Procurement Law do not apply to</w:t>
            </w:r>
            <w:r w:rsidRPr="00F47282">
              <w:rPr>
                <w:rFonts w:ascii="Arial" w:hAnsi="Arial" w:cs="Arial"/>
                <w:lang w:val="en-US"/>
              </w:rPr>
              <w:t xml:space="preserve"> </w:t>
            </w:r>
            <w:r w:rsidR="00F47282">
              <w:rPr>
                <w:rFonts w:ascii="Arial" w:hAnsi="Arial" w:cs="Arial"/>
                <w:lang w:val="en-US"/>
              </w:rPr>
              <w:t>the President Reserve Fund</w:t>
            </w:r>
            <w:r w:rsidRPr="00F47282">
              <w:rPr>
                <w:rFonts w:ascii="Arial" w:hAnsi="Arial" w:cs="Arial"/>
                <w:lang w:val="en-US"/>
              </w:rPr>
              <w:t xml:space="preserve">, </w:t>
            </w:r>
            <w:r w:rsidR="00F47282">
              <w:rPr>
                <w:rFonts w:ascii="Arial" w:hAnsi="Arial" w:cs="Arial"/>
                <w:lang w:val="en-US"/>
              </w:rPr>
              <w:t>government and Tbilisi mayor office</w:t>
            </w:r>
          </w:p>
        </w:tc>
      </w:tr>
    </w:tbl>
    <w:p w:rsidR="0020682A" w:rsidRPr="0020682A" w:rsidRDefault="0020682A" w:rsidP="0020682A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Source</w:t>
      </w:r>
      <w:r w:rsidRPr="0020682A"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An analysis carried out by the Anti-Corruption Research Center of the Academy of Public Administration under the President of Kazakhstan</w:t>
      </w:r>
    </w:p>
    <w:p w:rsidR="0020682A" w:rsidRPr="0020682A" w:rsidRDefault="0020682A" w:rsidP="008C75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20682A" w:rsidRPr="0020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3E"/>
    <w:rsid w:val="001C603E"/>
    <w:rsid w:val="0020682A"/>
    <w:rsid w:val="008C750D"/>
    <w:rsid w:val="00A20704"/>
    <w:rsid w:val="00A46D28"/>
    <w:rsid w:val="00CF72DF"/>
    <w:rsid w:val="00ED22C5"/>
    <w:rsid w:val="00F4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2F11B-E484-4A79-8B47-2DB234F7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Мерген Дюсенов</dc:creator>
  <cp:keywords/>
  <dc:description/>
  <cp:lastModifiedBy>Мерген Дюсенов</cp:lastModifiedBy>
  <cp:revision>1</cp:revision>
  <dcterms:created xsi:type="dcterms:W3CDTF">2019-04-23T04:50:00Z</dcterms:created>
  <dcterms:modified xsi:type="dcterms:W3CDTF">2019-04-23T05:47:00Z</dcterms:modified>
</cp:coreProperties>
</file>